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A4A" w14:textId="5D2314E2" w:rsidR="002A2755" w:rsidRPr="002A2755" w:rsidRDefault="002A2755">
      <w:pPr>
        <w:pStyle w:val="Titre1"/>
        <w:jc w:val="center"/>
        <w:rPr>
          <w:color w:val="00B050"/>
          <w:sz w:val="44"/>
          <w:szCs w:val="44"/>
          <w:lang w:val="fr-CH"/>
        </w:rPr>
      </w:pPr>
      <w:r w:rsidRPr="002A2755">
        <w:rPr>
          <w:color w:val="00B050"/>
          <w:sz w:val="44"/>
          <w:szCs w:val="44"/>
          <w:lang w:val="fr-CH"/>
        </w:rPr>
        <w:t>DIREF 2030</w:t>
      </w:r>
    </w:p>
    <w:p w14:paraId="267FE62D" w14:textId="113F5D13" w:rsidR="00257BCB" w:rsidRPr="002A2755" w:rsidRDefault="00000000">
      <w:pPr>
        <w:pStyle w:val="Titre1"/>
        <w:jc w:val="center"/>
        <w:rPr>
          <w:lang w:val="fr-CH"/>
        </w:rPr>
      </w:pPr>
      <w:r w:rsidRPr="002A2755">
        <w:rPr>
          <w:lang w:val="fr-CH"/>
        </w:rPr>
        <w:t>Formation – Gouvernance agile pour les directions d’établissement scolaire</w:t>
      </w:r>
    </w:p>
    <w:p w14:paraId="2D995B11" w14:textId="1F9F62C5" w:rsidR="004517AA" w:rsidRPr="002A2755" w:rsidRDefault="00000000" w:rsidP="00B351A1">
      <w:pPr>
        <w:jc w:val="center"/>
        <w:rPr>
          <w:lang w:val="fr-CH"/>
        </w:rPr>
      </w:pPr>
      <w:r w:rsidRPr="002A2755">
        <w:rPr>
          <w:lang w:val="fr-CH"/>
        </w:rPr>
        <w:t>Innover pour l’éducation de demain</w:t>
      </w:r>
      <w:r w:rsidRPr="002A2755">
        <w:rPr>
          <w:lang w:val="fr-CH"/>
        </w:rPr>
        <w:br/>
      </w:r>
    </w:p>
    <w:p w14:paraId="218C7836" w14:textId="39B23EF0" w:rsidR="004517AA" w:rsidRPr="002A2755" w:rsidRDefault="004517AA">
      <w:pPr>
        <w:jc w:val="center"/>
        <w:rPr>
          <w:lang w:val="fr-CH"/>
        </w:rPr>
      </w:pPr>
      <w:r w:rsidRPr="002A2755">
        <w:rPr>
          <w:lang w:val="fr-CH"/>
        </w:rPr>
        <w:t xml:space="preserve">Participation </w:t>
      </w:r>
      <w:r w:rsidR="00B351A1" w:rsidRPr="002A2755">
        <w:rPr>
          <w:lang w:val="fr-CH"/>
        </w:rPr>
        <w:t xml:space="preserve">possible </w:t>
      </w:r>
      <w:r w:rsidR="00627B7E" w:rsidRPr="002A2755">
        <w:rPr>
          <w:lang w:val="fr-CH"/>
        </w:rPr>
        <w:t>au jour</w:t>
      </w:r>
      <w:r w:rsidRPr="002A2755">
        <w:rPr>
          <w:lang w:val="fr-CH"/>
        </w:rPr>
        <w:t xml:space="preserve"> 1 </w:t>
      </w:r>
      <w:r w:rsidR="009B61E8" w:rsidRPr="002A2755">
        <w:rPr>
          <w:lang w:val="fr-CH"/>
        </w:rPr>
        <w:t>uniquement</w:t>
      </w:r>
      <w:r w:rsidRPr="002A2755">
        <w:rPr>
          <w:lang w:val="fr-CH"/>
        </w:rPr>
        <w:t xml:space="preserve"> ou aux deux jour</w:t>
      </w:r>
      <w:r w:rsidR="00627B7E" w:rsidRPr="002A2755">
        <w:rPr>
          <w:lang w:val="fr-CH"/>
        </w:rPr>
        <w:t>nées</w:t>
      </w:r>
      <w:r w:rsidRPr="002A2755">
        <w:rPr>
          <w:lang w:val="fr-CH"/>
        </w:rPr>
        <w:t xml:space="preserve"> de formation</w:t>
      </w:r>
    </w:p>
    <w:p w14:paraId="5CB21103" w14:textId="378A4B25" w:rsidR="00B351A1" w:rsidRPr="002A2755" w:rsidRDefault="00B351A1">
      <w:pPr>
        <w:pStyle w:val="Titre2"/>
        <w:rPr>
          <w:lang w:val="fr-CH"/>
        </w:rPr>
      </w:pPr>
    </w:p>
    <w:p w14:paraId="4787A15D" w14:textId="36439607" w:rsidR="004517AA" w:rsidRDefault="00000000" w:rsidP="00B351A1">
      <w:pPr>
        <w:pStyle w:val="Titre2"/>
        <w:rPr>
          <w:lang w:val="fr-CH"/>
        </w:rPr>
      </w:pPr>
      <w:r w:rsidRPr="002A2755">
        <w:rPr>
          <w:lang w:val="fr-CH"/>
        </w:rPr>
        <w:t>Jour 1 – Gouvernance agile : innover pour l’éducation de demain</w:t>
      </w:r>
    </w:p>
    <w:p w14:paraId="27303CA3" w14:textId="77777777" w:rsidR="002A2755" w:rsidRPr="002A2755" w:rsidRDefault="002A2755" w:rsidP="002A2755">
      <w:pPr>
        <w:rPr>
          <w:lang w:val="fr-CH"/>
        </w:rPr>
      </w:pPr>
    </w:p>
    <w:p w14:paraId="57248467" w14:textId="290FEE19" w:rsidR="004517AA" w:rsidRPr="002A2755" w:rsidRDefault="00000000">
      <w:pPr>
        <w:rPr>
          <w:i/>
          <w:iCs/>
          <w:lang w:val="fr-CH"/>
        </w:rPr>
      </w:pPr>
      <w:r w:rsidRPr="002A2755">
        <w:rPr>
          <w:i/>
          <w:iCs/>
          <w:lang w:val="fr-CH"/>
        </w:rPr>
        <w:t>Cette première journée propose une alternance d’apports théoriques, de réflexions collectives et de témoignages inspirants de dirigeants. Elle vise à introduire les fondements de la gouvernance agile et à en explorer les implications concrètes dans le monde éducatif.</w:t>
      </w:r>
    </w:p>
    <w:p w14:paraId="759B2C76" w14:textId="77777777" w:rsidR="00B351A1" w:rsidRPr="002A2755" w:rsidRDefault="00B351A1">
      <w:pPr>
        <w:rPr>
          <w:i/>
          <w:iCs/>
          <w:lang w:val="fr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81"/>
      </w:tblGrid>
      <w:tr w:rsidR="00257BCB" w14:paraId="280462F6" w14:textId="77777777" w:rsidTr="00B351A1">
        <w:tc>
          <w:tcPr>
            <w:tcW w:w="851" w:type="dxa"/>
          </w:tcPr>
          <w:p w14:paraId="44D0A681" w14:textId="77777777" w:rsidR="00257BCB" w:rsidRDefault="00000000">
            <w:proofErr w:type="spellStart"/>
            <w:r>
              <w:t>Heure</w:t>
            </w:r>
            <w:proofErr w:type="spellEnd"/>
          </w:p>
        </w:tc>
        <w:tc>
          <w:tcPr>
            <w:tcW w:w="7681" w:type="dxa"/>
          </w:tcPr>
          <w:p w14:paraId="139075D0" w14:textId="77777777" w:rsidR="00257BCB" w:rsidRDefault="00000000">
            <w:r>
              <w:t>Activité</w:t>
            </w:r>
          </w:p>
        </w:tc>
      </w:tr>
      <w:tr w:rsidR="00257BCB" w14:paraId="2A2923B4" w14:textId="77777777" w:rsidTr="00B351A1">
        <w:tc>
          <w:tcPr>
            <w:tcW w:w="851" w:type="dxa"/>
          </w:tcPr>
          <w:p w14:paraId="4B554C43" w14:textId="77777777" w:rsidR="00257BCB" w:rsidRDefault="00000000">
            <w:r>
              <w:t>08h30</w:t>
            </w:r>
          </w:p>
        </w:tc>
        <w:tc>
          <w:tcPr>
            <w:tcW w:w="7681" w:type="dxa"/>
          </w:tcPr>
          <w:p w14:paraId="225B7877" w14:textId="77777777" w:rsidR="00257BCB" w:rsidRDefault="00000000">
            <w:r>
              <w:t>Accueil – Café et croissants</w:t>
            </w:r>
          </w:p>
        </w:tc>
      </w:tr>
      <w:tr w:rsidR="00257BCB" w14:paraId="3FA3CF3F" w14:textId="77777777" w:rsidTr="00B351A1">
        <w:tc>
          <w:tcPr>
            <w:tcW w:w="851" w:type="dxa"/>
          </w:tcPr>
          <w:p w14:paraId="074B8C42" w14:textId="77777777" w:rsidR="00257BCB" w:rsidRDefault="00000000">
            <w:r>
              <w:t>09h00</w:t>
            </w:r>
          </w:p>
        </w:tc>
        <w:tc>
          <w:tcPr>
            <w:tcW w:w="7681" w:type="dxa"/>
          </w:tcPr>
          <w:p w14:paraId="7850679C" w14:textId="77777777" w:rsidR="00257BCB" w:rsidRDefault="00000000">
            <w:r>
              <w:t>Ouverture de la journée</w:t>
            </w:r>
          </w:p>
        </w:tc>
      </w:tr>
      <w:tr w:rsidR="00257BCB" w:rsidRPr="002A2755" w14:paraId="29B1501A" w14:textId="77777777" w:rsidTr="00B351A1">
        <w:tc>
          <w:tcPr>
            <w:tcW w:w="851" w:type="dxa"/>
          </w:tcPr>
          <w:p w14:paraId="0A527C3B" w14:textId="77777777" w:rsidR="00257BCB" w:rsidRDefault="00000000">
            <w:r>
              <w:t>09h10</w:t>
            </w:r>
          </w:p>
        </w:tc>
        <w:tc>
          <w:tcPr>
            <w:tcW w:w="7681" w:type="dxa"/>
          </w:tcPr>
          <w:p w14:paraId="19749CD5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 xml:space="preserve">Quick </w:t>
            </w:r>
            <w:proofErr w:type="spellStart"/>
            <w:r w:rsidRPr="002A2755">
              <w:rPr>
                <w:lang w:val="fr-CH"/>
              </w:rPr>
              <w:t>thinking</w:t>
            </w:r>
            <w:proofErr w:type="spellEnd"/>
            <w:r w:rsidRPr="002A2755">
              <w:rPr>
                <w:lang w:val="fr-CH"/>
              </w:rPr>
              <w:t xml:space="preserve"> : exploration rapide des principes de l’agilité</w:t>
            </w:r>
          </w:p>
        </w:tc>
      </w:tr>
      <w:tr w:rsidR="00257BCB" w:rsidRPr="002A2755" w14:paraId="067DB813" w14:textId="77777777" w:rsidTr="00B351A1">
        <w:tc>
          <w:tcPr>
            <w:tcW w:w="851" w:type="dxa"/>
          </w:tcPr>
          <w:p w14:paraId="125ABC2E" w14:textId="77777777" w:rsidR="00257BCB" w:rsidRDefault="00000000">
            <w:r>
              <w:t>09h30</w:t>
            </w:r>
          </w:p>
        </w:tc>
        <w:tc>
          <w:tcPr>
            <w:tcW w:w="7681" w:type="dxa"/>
          </w:tcPr>
          <w:p w14:paraId="3DF1F62B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 xml:space="preserve">L’agilité dans la gouvernance – Intervention de Nicolas </w:t>
            </w:r>
            <w:proofErr w:type="spellStart"/>
            <w:r w:rsidRPr="002A2755">
              <w:rPr>
                <w:lang w:val="fr-CH"/>
              </w:rPr>
              <w:t>Debons</w:t>
            </w:r>
            <w:proofErr w:type="spellEnd"/>
            <w:r w:rsidRPr="002A2755">
              <w:rPr>
                <w:lang w:val="fr-CH"/>
              </w:rPr>
              <w:t>, Professeur à la HES-SO</w:t>
            </w:r>
          </w:p>
        </w:tc>
      </w:tr>
      <w:tr w:rsidR="00257BCB" w:rsidRPr="002A2755" w14:paraId="5A68D271" w14:textId="77777777" w:rsidTr="00B351A1">
        <w:tc>
          <w:tcPr>
            <w:tcW w:w="851" w:type="dxa"/>
          </w:tcPr>
          <w:p w14:paraId="200B6C53" w14:textId="77777777" w:rsidR="00257BCB" w:rsidRDefault="00000000">
            <w:r>
              <w:t>10h10</w:t>
            </w:r>
          </w:p>
        </w:tc>
        <w:tc>
          <w:tcPr>
            <w:tcW w:w="7681" w:type="dxa"/>
          </w:tcPr>
          <w:p w14:paraId="71476133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Partage de pratiques et exploration collective en sous-groupes</w:t>
            </w:r>
          </w:p>
        </w:tc>
      </w:tr>
      <w:tr w:rsidR="00257BCB" w14:paraId="292B3CC8" w14:textId="77777777" w:rsidTr="00B351A1">
        <w:tc>
          <w:tcPr>
            <w:tcW w:w="851" w:type="dxa"/>
          </w:tcPr>
          <w:p w14:paraId="025E2F11" w14:textId="77777777" w:rsidR="00257BCB" w:rsidRDefault="00000000">
            <w:r>
              <w:t>10h50</w:t>
            </w:r>
          </w:p>
        </w:tc>
        <w:tc>
          <w:tcPr>
            <w:tcW w:w="7681" w:type="dxa"/>
          </w:tcPr>
          <w:p w14:paraId="724055DF" w14:textId="77777777" w:rsidR="00257BCB" w:rsidRDefault="00000000">
            <w:r>
              <w:t>Pause</w:t>
            </w:r>
          </w:p>
        </w:tc>
      </w:tr>
      <w:tr w:rsidR="00257BCB" w:rsidRPr="002A2755" w14:paraId="73EE237C" w14:textId="77777777" w:rsidTr="00B351A1">
        <w:tc>
          <w:tcPr>
            <w:tcW w:w="851" w:type="dxa"/>
          </w:tcPr>
          <w:p w14:paraId="7AC79D4B" w14:textId="77777777" w:rsidR="00257BCB" w:rsidRDefault="00000000">
            <w:r>
              <w:t>11h20</w:t>
            </w:r>
          </w:p>
        </w:tc>
        <w:tc>
          <w:tcPr>
            <w:tcW w:w="7681" w:type="dxa"/>
          </w:tcPr>
          <w:p w14:paraId="56EA41E0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 xml:space="preserve">Témoignage de terrain : Fabio Monte, </w:t>
            </w:r>
            <w:proofErr w:type="spellStart"/>
            <w:r w:rsidRPr="002A2755">
              <w:rPr>
                <w:lang w:val="fr-CH"/>
              </w:rPr>
              <w:t>Qapitaine</w:t>
            </w:r>
            <w:proofErr w:type="spellEnd"/>
            <w:r w:rsidRPr="002A2755">
              <w:rPr>
                <w:lang w:val="fr-CH"/>
              </w:rPr>
              <w:t xml:space="preserve"> chez </w:t>
            </w:r>
            <w:proofErr w:type="spellStart"/>
            <w:r w:rsidRPr="002A2755">
              <w:rPr>
                <w:lang w:val="fr-CH"/>
              </w:rPr>
              <w:t>QoQa</w:t>
            </w:r>
            <w:proofErr w:type="spellEnd"/>
          </w:p>
        </w:tc>
      </w:tr>
      <w:tr w:rsidR="00257BCB" w:rsidRPr="002A2755" w14:paraId="1A1B263A" w14:textId="77777777" w:rsidTr="00B351A1">
        <w:tc>
          <w:tcPr>
            <w:tcW w:w="851" w:type="dxa"/>
          </w:tcPr>
          <w:p w14:paraId="11D44895" w14:textId="77777777" w:rsidR="00257BCB" w:rsidRDefault="00000000">
            <w:r>
              <w:t>11h55</w:t>
            </w:r>
          </w:p>
        </w:tc>
        <w:tc>
          <w:tcPr>
            <w:tcW w:w="7681" w:type="dxa"/>
          </w:tcPr>
          <w:p w14:paraId="17F12B69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Synthèse des idées et pistes inspirantes</w:t>
            </w:r>
          </w:p>
        </w:tc>
      </w:tr>
      <w:tr w:rsidR="00257BCB" w:rsidRPr="002A2755" w14:paraId="0C146C95" w14:textId="77777777" w:rsidTr="00B351A1">
        <w:tc>
          <w:tcPr>
            <w:tcW w:w="851" w:type="dxa"/>
          </w:tcPr>
          <w:p w14:paraId="1E9632B3" w14:textId="77777777" w:rsidR="00257BCB" w:rsidRDefault="00000000">
            <w:r>
              <w:t>12h10</w:t>
            </w:r>
          </w:p>
        </w:tc>
        <w:tc>
          <w:tcPr>
            <w:tcW w:w="7681" w:type="dxa"/>
          </w:tcPr>
          <w:p w14:paraId="0323B647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Temps de mise en perspective collective</w:t>
            </w:r>
          </w:p>
        </w:tc>
      </w:tr>
      <w:tr w:rsidR="00257BCB" w14:paraId="76EE32BD" w14:textId="77777777" w:rsidTr="00B351A1">
        <w:tc>
          <w:tcPr>
            <w:tcW w:w="851" w:type="dxa"/>
          </w:tcPr>
          <w:p w14:paraId="069638BF" w14:textId="77777777" w:rsidR="00257BCB" w:rsidRDefault="00000000">
            <w:r>
              <w:t>12h30</w:t>
            </w:r>
          </w:p>
        </w:tc>
        <w:tc>
          <w:tcPr>
            <w:tcW w:w="7681" w:type="dxa"/>
          </w:tcPr>
          <w:p w14:paraId="4C0BACBA" w14:textId="77777777" w:rsidR="00257BCB" w:rsidRDefault="00000000">
            <w:r>
              <w:t>Repas</w:t>
            </w:r>
          </w:p>
        </w:tc>
      </w:tr>
      <w:tr w:rsidR="00257BCB" w:rsidRPr="002A2755" w14:paraId="3C665289" w14:textId="77777777" w:rsidTr="00B351A1">
        <w:tc>
          <w:tcPr>
            <w:tcW w:w="851" w:type="dxa"/>
          </w:tcPr>
          <w:p w14:paraId="2B1D676F" w14:textId="77777777" w:rsidR="00257BCB" w:rsidRDefault="00000000">
            <w:r>
              <w:t>14h00</w:t>
            </w:r>
          </w:p>
        </w:tc>
        <w:tc>
          <w:tcPr>
            <w:tcW w:w="7681" w:type="dxa"/>
          </w:tcPr>
          <w:p w14:paraId="2215E105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 xml:space="preserve">Témoignage approfondi : Organisation et gouvernance chez </w:t>
            </w:r>
            <w:proofErr w:type="spellStart"/>
            <w:r w:rsidRPr="002A2755">
              <w:rPr>
                <w:lang w:val="fr-CH"/>
              </w:rPr>
              <w:t>QoQa</w:t>
            </w:r>
            <w:proofErr w:type="spellEnd"/>
            <w:r w:rsidRPr="002A2755">
              <w:rPr>
                <w:lang w:val="fr-CH"/>
              </w:rPr>
              <w:t>, avec Fabio Monte</w:t>
            </w:r>
          </w:p>
        </w:tc>
      </w:tr>
      <w:tr w:rsidR="00257BCB" w14:paraId="0EF2F1BC" w14:textId="77777777" w:rsidTr="00B351A1">
        <w:tc>
          <w:tcPr>
            <w:tcW w:w="851" w:type="dxa"/>
          </w:tcPr>
          <w:p w14:paraId="3C7923D1" w14:textId="77777777" w:rsidR="00257BCB" w:rsidRDefault="00000000">
            <w:r>
              <w:t>14h30</w:t>
            </w:r>
          </w:p>
        </w:tc>
        <w:tc>
          <w:tcPr>
            <w:tcW w:w="7681" w:type="dxa"/>
          </w:tcPr>
          <w:p w14:paraId="0E5FDECC" w14:textId="77777777" w:rsidR="00257BCB" w:rsidRDefault="00000000">
            <w:r>
              <w:t>Échanges et retours d’expérience</w:t>
            </w:r>
          </w:p>
        </w:tc>
      </w:tr>
      <w:tr w:rsidR="00257BCB" w14:paraId="2C0CB629" w14:textId="77777777" w:rsidTr="00B351A1">
        <w:tc>
          <w:tcPr>
            <w:tcW w:w="851" w:type="dxa"/>
          </w:tcPr>
          <w:p w14:paraId="19306090" w14:textId="77777777" w:rsidR="00257BCB" w:rsidRDefault="00000000">
            <w:r>
              <w:t>15h15</w:t>
            </w:r>
          </w:p>
        </w:tc>
        <w:tc>
          <w:tcPr>
            <w:tcW w:w="7681" w:type="dxa"/>
          </w:tcPr>
          <w:p w14:paraId="6FF52EAE" w14:textId="77777777" w:rsidR="00257BCB" w:rsidRDefault="00000000">
            <w:r>
              <w:t>Pause</w:t>
            </w:r>
          </w:p>
        </w:tc>
      </w:tr>
      <w:tr w:rsidR="00257BCB" w14:paraId="37164A7E" w14:textId="77777777" w:rsidTr="00B351A1">
        <w:tc>
          <w:tcPr>
            <w:tcW w:w="851" w:type="dxa"/>
          </w:tcPr>
          <w:p w14:paraId="7EB4FA90" w14:textId="77777777" w:rsidR="00257BCB" w:rsidRDefault="00000000">
            <w:r>
              <w:t>15h30</w:t>
            </w:r>
          </w:p>
        </w:tc>
        <w:tc>
          <w:tcPr>
            <w:tcW w:w="7681" w:type="dxa"/>
          </w:tcPr>
          <w:p w14:paraId="7FFD64F0" w14:textId="77777777" w:rsidR="00257BCB" w:rsidRDefault="00000000">
            <w:r>
              <w:t>Le leadership agile – Intervention de Nicolas Debons</w:t>
            </w:r>
          </w:p>
        </w:tc>
      </w:tr>
      <w:tr w:rsidR="00257BCB" w:rsidRPr="002A2755" w14:paraId="6EA17C28" w14:textId="77777777" w:rsidTr="00B351A1">
        <w:tc>
          <w:tcPr>
            <w:tcW w:w="851" w:type="dxa"/>
          </w:tcPr>
          <w:p w14:paraId="6D348EA0" w14:textId="77777777" w:rsidR="00257BCB" w:rsidRDefault="00000000">
            <w:r>
              <w:t>16h00</w:t>
            </w:r>
          </w:p>
        </w:tc>
        <w:tc>
          <w:tcPr>
            <w:tcW w:w="7681" w:type="dxa"/>
          </w:tcPr>
          <w:p w14:paraId="14507B93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Réflexions et transpositions possibles dans le cadre scolaire</w:t>
            </w:r>
          </w:p>
        </w:tc>
      </w:tr>
      <w:tr w:rsidR="00257BCB" w:rsidRPr="002A2755" w14:paraId="0F414637" w14:textId="77777777" w:rsidTr="00B351A1">
        <w:tc>
          <w:tcPr>
            <w:tcW w:w="851" w:type="dxa"/>
          </w:tcPr>
          <w:p w14:paraId="44250EDB" w14:textId="77777777" w:rsidR="00257BCB" w:rsidRDefault="00000000">
            <w:r>
              <w:t>16h25</w:t>
            </w:r>
          </w:p>
        </w:tc>
        <w:tc>
          <w:tcPr>
            <w:tcW w:w="7681" w:type="dxa"/>
          </w:tcPr>
          <w:p w14:paraId="5CB7B901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Clôture de la journée et mise en perspective</w:t>
            </w:r>
          </w:p>
        </w:tc>
      </w:tr>
      <w:tr w:rsidR="00257BCB" w14:paraId="4A8B03A5" w14:textId="77777777" w:rsidTr="00B351A1">
        <w:tc>
          <w:tcPr>
            <w:tcW w:w="851" w:type="dxa"/>
          </w:tcPr>
          <w:p w14:paraId="562F6034" w14:textId="77777777" w:rsidR="00257BCB" w:rsidRDefault="00000000">
            <w:r>
              <w:t>17h00</w:t>
            </w:r>
          </w:p>
        </w:tc>
        <w:tc>
          <w:tcPr>
            <w:tcW w:w="7681" w:type="dxa"/>
          </w:tcPr>
          <w:p w14:paraId="728A9BE1" w14:textId="77777777" w:rsidR="00257BCB" w:rsidRDefault="00000000">
            <w:r>
              <w:t>Apéritif &amp; réseautage</w:t>
            </w:r>
          </w:p>
        </w:tc>
      </w:tr>
    </w:tbl>
    <w:p w14:paraId="6FD499C6" w14:textId="04E0ED4C" w:rsidR="00257BCB" w:rsidRDefault="00257BCB"/>
    <w:p w14:paraId="562959F9" w14:textId="0092F53D" w:rsidR="004517AA" w:rsidRPr="002A2755" w:rsidRDefault="00000000" w:rsidP="00B351A1">
      <w:pPr>
        <w:pStyle w:val="Titre2"/>
        <w:rPr>
          <w:lang w:val="fr-CH"/>
        </w:rPr>
      </w:pPr>
      <w:r w:rsidRPr="002A2755">
        <w:rPr>
          <w:lang w:val="fr-CH"/>
        </w:rPr>
        <w:lastRenderedPageBreak/>
        <w:t>Jour 2 – Gouvernance agile : innover dans son management</w:t>
      </w:r>
    </w:p>
    <w:p w14:paraId="13A36053" w14:textId="07ACC760" w:rsidR="004517AA" w:rsidRPr="002A2755" w:rsidRDefault="00000000">
      <w:pPr>
        <w:rPr>
          <w:i/>
          <w:iCs/>
          <w:lang w:val="fr-CH"/>
        </w:rPr>
      </w:pPr>
      <w:r w:rsidRPr="002A2755">
        <w:rPr>
          <w:i/>
          <w:iCs/>
          <w:lang w:val="fr-CH"/>
        </w:rPr>
        <w:t xml:space="preserve">Cette seconde journée, plus opérationnelle, est centrée sur la mise en œuvre concrète des </w:t>
      </w:r>
      <w:proofErr w:type="gramStart"/>
      <w:r w:rsidRPr="002A2755">
        <w:rPr>
          <w:i/>
          <w:iCs/>
          <w:lang w:val="fr-CH"/>
        </w:rPr>
        <w:t>principes</w:t>
      </w:r>
      <w:proofErr w:type="gramEnd"/>
      <w:r w:rsidRPr="002A2755">
        <w:rPr>
          <w:i/>
          <w:iCs/>
          <w:lang w:val="fr-CH"/>
        </w:rPr>
        <w:t xml:space="preserve"> agiles dans le management quotidien. Elle est structurée autour de quatre axes clés, abordés sous forme d’ateliers, de contributions théoriques et de co-construction.</w:t>
      </w:r>
    </w:p>
    <w:p w14:paraId="089D41CD" w14:textId="77777777" w:rsidR="004517AA" w:rsidRPr="002A2755" w:rsidRDefault="004517AA">
      <w:pPr>
        <w:rPr>
          <w:i/>
          <w:iCs/>
          <w:lang w:val="fr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39"/>
      </w:tblGrid>
      <w:tr w:rsidR="00257BCB" w14:paraId="07AB75FF" w14:textId="77777777" w:rsidTr="004517AA">
        <w:tc>
          <w:tcPr>
            <w:tcW w:w="993" w:type="dxa"/>
          </w:tcPr>
          <w:p w14:paraId="77089579" w14:textId="77777777" w:rsidR="00257BCB" w:rsidRDefault="00000000">
            <w:proofErr w:type="spellStart"/>
            <w:r>
              <w:t>Heure</w:t>
            </w:r>
            <w:proofErr w:type="spellEnd"/>
          </w:p>
        </w:tc>
        <w:tc>
          <w:tcPr>
            <w:tcW w:w="7539" w:type="dxa"/>
          </w:tcPr>
          <w:p w14:paraId="1F5B2BC9" w14:textId="77777777" w:rsidR="00257BCB" w:rsidRDefault="00000000">
            <w:r>
              <w:t>Activité</w:t>
            </w:r>
          </w:p>
        </w:tc>
      </w:tr>
      <w:tr w:rsidR="00257BCB" w14:paraId="32C1773F" w14:textId="77777777" w:rsidTr="004517AA">
        <w:tc>
          <w:tcPr>
            <w:tcW w:w="993" w:type="dxa"/>
          </w:tcPr>
          <w:p w14:paraId="57DA5F0C" w14:textId="77777777" w:rsidR="00257BCB" w:rsidRDefault="00000000">
            <w:r>
              <w:t>08h30</w:t>
            </w:r>
          </w:p>
        </w:tc>
        <w:tc>
          <w:tcPr>
            <w:tcW w:w="7539" w:type="dxa"/>
          </w:tcPr>
          <w:p w14:paraId="6F7D3E07" w14:textId="77777777" w:rsidR="00257BCB" w:rsidRDefault="00000000">
            <w:r>
              <w:t>Accueil – Café et croissants</w:t>
            </w:r>
          </w:p>
        </w:tc>
      </w:tr>
      <w:tr w:rsidR="00257BCB" w:rsidRPr="002A2755" w14:paraId="3BA056EA" w14:textId="77777777" w:rsidTr="004517AA">
        <w:tc>
          <w:tcPr>
            <w:tcW w:w="993" w:type="dxa"/>
          </w:tcPr>
          <w:p w14:paraId="43088A85" w14:textId="77777777" w:rsidR="00257BCB" w:rsidRDefault="00000000">
            <w:r>
              <w:t>09h00</w:t>
            </w:r>
          </w:p>
        </w:tc>
        <w:tc>
          <w:tcPr>
            <w:tcW w:w="7539" w:type="dxa"/>
          </w:tcPr>
          <w:p w14:paraId="39B6F9F7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Introduction à la journée et aux objectifs</w:t>
            </w:r>
          </w:p>
        </w:tc>
      </w:tr>
      <w:tr w:rsidR="00257BCB" w:rsidRPr="002A2755" w14:paraId="66711436" w14:textId="77777777" w:rsidTr="004517AA">
        <w:tc>
          <w:tcPr>
            <w:tcW w:w="993" w:type="dxa"/>
          </w:tcPr>
          <w:p w14:paraId="11333537" w14:textId="77777777" w:rsidR="00257BCB" w:rsidRDefault="00000000">
            <w:r>
              <w:t>09h05</w:t>
            </w:r>
          </w:p>
        </w:tc>
        <w:tc>
          <w:tcPr>
            <w:tcW w:w="7539" w:type="dxa"/>
          </w:tcPr>
          <w:p w14:paraId="748D292A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Atelier 1 : Identifier les parties prenantes – Introduction au Service Design</w:t>
            </w:r>
          </w:p>
        </w:tc>
      </w:tr>
      <w:tr w:rsidR="00257BCB" w:rsidRPr="002A2755" w14:paraId="3EAC153E" w14:textId="77777777" w:rsidTr="004517AA">
        <w:tc>
          <w:tcPr>
            <w:tcW w:w="993" w:type="dxa"/>
          </w:tcPr>
          <w:p w14:paraId="1B214173" w14:textId="77777777" w:rsidR="00257BCB" w:rsidRDefault="00000000">
            <w:r>
              <w:t>11h05</w:t>
            </w:r>
          </w:p>
        </w:tc>
        <w:tc>
          <w:tcPr>
            <w:tcW w:w="7539" w:type="dxa"/>
          </w:tcPr>
          <w:p w14:paraId="65D8867B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Atelier 2 : Mobiliser et organiser les équipes – Leviers de motivation et structuration agile</w:t>
            </w:r>
          </w:p>
        </w:tc>
      </w:tr>
      <w:tr w:rsidR="00257BCB" w14:paraId="28CC2F5A" w14:textId="77777777" w:rsidTr="004517AA">
        <w:tc>
          <w:tcPr>
            <w:tcW w:w="993" w:type="dxa"/>
          </w:tcPr>
          <w:p w14:paraId="6AB7CF53" w14:textId="77777777" w:rsidR="00257BCB" w:rsidRDefault="00000000">
            <w:r>
              <w:t>12h00</w:t>
            </w:r>
          </w:p>
        </w:tc>
        <w:tc>
          <w:tcPr>
            <w:tcW w:w="7539" w:type="dxa"/>
          </w:tcPr>
          <w:p w14:paraId="2899A142" w14:textId="77777777" w:rsidR="00257BCB" w:rsidRDefault="00000000">
            <w:r>
              <w:t>Repas</w:t>
            </w:r>
          </w:p>
        </w:tc>
      </w:tr>
      <w:tr w:rsidR="00257BCB" w:rsidRPr="002A2755" w14:paraId="7DC4BAA8" w14:textId="77777777" w:rsidTr="004517AA">
        <w:tc>
          <w:tcPr>
            <w:tcW w:w="993" w:type="dxa"/>
          </w:tcPr>
          <w:p w14:paraId="3C416963" w14:textId="77777777" w:rsidR="00257BCB" w:rsidRDefault="00000000">
            <w:r>
              <w:t>13h30</w:t>
            </w:r>
          </w:p>
        </w:tc>
        <w:tc>
          <w:tcPr>
            <w:tcW w:w="7539" w:type="dxa"/>
          </w:tcPr>
          <w:p w14:paraId="3474BEB3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Atelier 3 : Fluidifier la communication dans les équipes – outils et postures</w:t>
            </w:r>
          </w:p>
        </w:tc>
      </w:tr>
      <w:tr w:rsidR="00B351A1" w14:paraId="436AC5A0" w14:textId="77777777" w:rsidTr="004517AA">
        <w:tc>
          <w:tcPr>
            <w:tcW w:w="993" w:type="dxa"/>
          </w:tcPr>
          <w:p w14:paraId="5434853A" w14:textId="57915B77" w:rsidR="00B351A1" w:rsidRDefault="00B351A1">
            <w:r>
              <w:t>14h30</w:t>
            </w:r>
          </w:p>
        </w:tc>
        <w:tc>
          <w:tcPr>
            <w:tcW w:w="7539" w:type="dxa"/>
          </w:tcPr>
          <w:p w14:paraId="7DE7DF34" w14:textId="0225FC68" w:rsidR="00B351A1" w:rsidRDefault="00B351A1">
            <w:r>
              <w:t xml:space="preserve">Pause </w:t>
            </w:r>
          </w:p>
        </w:tc>
      </w:tr>
      <w:tr w:rsidR="00257BCB" w:rsidRPr="002A2755" w14:paraId="22C27ED8" w14:textId="77777777" w:rsidTr="004517AA">
        <w:tc>
          <w:tcPr>
            <w:tcW w:w="993" w:type="dxa"/>
          </w:tcPr>
          <w:p w14:paraId="7F39B2DE" w14:textId="77777777" w:rsidR="00257BCB" w:rsidRDefault="00000000">
            <w:r>
              <w:t>14h45</w:t>
            </w:r>
          </w:p>
        </w:tc>
        <w:tc>
          <w:tcPr>
            <w:tcW w:w="7539" w:type="dxa"/>
          </w:tcPr>
          <w:p w14:paraId="638FE7F5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Atelier 4 : S’inscrire dans une démarche d’amélioration continue – Excellence, simplicité et régularité</w:t>
            </w:r>
          </w:p>
        </w:tc>
      </w:tr>
      <w:tr w:rsidR="00257BCB" w:rsidRPr="002A2755" w14:paraId="2BAEEEEE" w14:textId="77777777" w:rsidTr="004517AA">
        <w:tc>
          <w:tcPr>
            <w:tcW w:w="993" w:type="dxa"/>
          </w:tcPr>
          <w:p w14:paraId="1A88D9F8" w14:textId="77777777" w:rsidR="00257BCB" w:rsidRDefault="00000000">
            <w:r>
              <w:t>15h45</w:t>
            </w:r>
          </w:p>
        </w:tc>
        <w:tc>
          <w:tcPr>
            <w:tcW w:w="7539" w:type="dxa"/>
          </w:tcPr>
          <w:p w14:paraId="0F1ECD19" w14:textId="77777777" w:rsidR="00257BCB" w:rsidRPr="002A2755" w:rsidRDefault="00000000">
            <w:pPr>
              <w:rPr>
                <w:lang w:val="fr-CH"/>
              </w:rPr>
            </w:pPr>
            <w:r w:rsidRPr="002A2755">
              <w:rPr>
                <w:lang w:val="fr-CH"/>
              </w:rPr>
              <w:t>Conclusion de la formation et perspectives d’accompagnement</w:t>
            </w:r>
          </w:p>
        </w:tc>
      </w:tr>
      <w:tr w:rsidR="00257BCB" w14:paraId="47E6A6AB" w14:textId="77777777" w:rsidTr="004517AA">
        <w:tc>
          <w:tcPr>
            <w:tcW w:w="993" w:type="dxa"/>
          </w:tcPr>
          <w:p w14:paraId="7110F8CC" w14:textId="77777777" w:rsidR="00257BCB" w:rsidRDefault="00000000">
            <w:r>
              <w:t>16h00</w:t>
            </w:r>
          </w:p>
        </w:tc>
        <w:tc>
          <w:tcPr>
            <w:tcW w:w="7539" w:type="dxa"/>
          </w:tcPr>
          <w:p w14:paraId="3325B03B" w14:textId="77777777" w:rsidR="00257BCB" w:rsidRDefault="00000000">
            <w:r>
              <w:t>Apéritif de clôture</w:t>
            </w:r>
          </w:p>
        </w:tc>
      </w:tr>
    </w:tbl>
    <w:p w14:paraId="7694C2C9" w14:textId="77777777" w:rsidR="00257BCB" w:rsidRDefault="00257BCB"/>
    <w:sectPr w:rsidR="00257B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B655" w14:textId="77777777" w:rsidR="004651C2" w:rsidRDefault="004651C2" w:rsidP="00E269DB">
      <w:pPr>
        <w:spacing w:after="0" w:line="240" w:lineRule="auto"/>
      </w:pPr>
      <w:r>
        <w:separator/>
      </w:r>
    </w:p>
  </w:endnote>
  <w:endnote w:type="continuationSeparator" w:id="0">
    <w:p w14:paraId="407F47E3" w14:textId="77777777" w:rsidR="004651C2" w:rsidRDefault="004651C2" w:rsidP="00E2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9E24" w14:textId="77777777" w:rsidR="004651C2" w:rsidRDefault="004651C2" w:rsidP="00E269DB">
      <w:pPr>
        <w:spacing w:after="0" w:line="240" w:lineRule="auto"/>
      </w:pPr>
      <w:r>
        <w:separator/>
      </w:r>
    </w:p>
  </w:footnote>
  <w:footnote w:type="continuationSeparator" w:id="0">
    <w:p w14:paraId="651E5693" w14:textId="77777777" w:rsidR="004651C2" w:rsidRDefault="004651C2" w:rsidP="00E2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114627">
    <w:abstractNumId w:val="8"/>
  </w:num>
  <w:num w:numId="2" w16cid:durableId="1038701034">
    <w:abstractNumId w:val="6"/>
  </w:num>
  <w:num w:numId="3" w16cid:durableId="1579630016">
    <w:abstractNumId w:val="5"/>
  </w:num>
  <w:num w:numId="4" w16cid:durableId="1270284432">
    <w:abstractNumId w:val="4"/>
  </w:num>
  <w:num w:numId="5" w16cid:durableId="1158419505">
    <w:abstractNumId w:val="7"/>
  </w:num>
  <w:num w:numId="6" w16cid:durableId="1279751350">
    <w:abstractNumId w:val="3"/>
  </w:num>
  <w:num w:numId="7" w16cid:durableId="18549873">
    <w:abstractNumId w:val="2"/>
  </w:num>
  <w:num w:numId="8" w16cid:durableId="1871456410">
    <w:abstractNumId w:val="1"/>
  </w:num>
  <w:num w:numId="9" w16cid:durableId="2564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3DA3"/>
    <w:rsid w:val="00257BCB"/>
    <w:rsid w:val="0029639D"/>
    <w:rsid w:val="002A2755"/>
    <w:rsid w:val="00326F90"/>
    <w:rsid w:val="003F72EC"/>
    <w:rsid w:val="004517AA"/>
    <w:rsid w:val="004651C2"/>
    <w:rsid w:val="00627B7E"/>
    <w:rsid w:val="009B61E8"/>
    <w:rsid w:val="00AA1D8D"/>
    <w:rsid w:val="00B351A1"/>
    <w:rsid w:val="00B47730"/>
    <w:rsid w:val="00CB0664"/>
    <w:rsid w:val="00E269DB"/>
    <w:rsid w:val="00FC693F"/>
    <w:rsid w:val="01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BE5F6"/>
  <w14:defaultImageDpi w14:val="300"/>
  <w15:docId w15:val="{6E4F3ABB-FFBA-3C47-878F-920318E4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E633DAB47A1478369306AF83946AD" ma:contentTypeVersion="15" ma:contentTypeDescription="Ein neues Dokument erstellen." ma:contentTypeScope="" ma:versionID="579afb0c169b7366f4c9aab34499e710">
  <xsd:schema xmlns:xsd="http://www.w3.org/2001/XMLSchema" xmlns:xs="http://www.w3.org/2001/XMLSchema" xmlns:p="http://schemas.microsoft.com/office/2006/metadata/properties" xmlns:ns2="5feac148-f15a-45a0-8726-b23ec1fe42ec" xmlns:ns3="3e92ce03-9a88-44a0-bd5f-78b7011466af" targetNamespace="http://schemas.microsoft.com/office/2006/metadata/properties" ma:root="true" ma:fieldsID="a54e2bc1a2f6dac5a734c5ff9dbca654" ns2:_="" ns3:_="">
    <xsd:import namespace="5feac148-f15a-45a0-8726-b23ec1fe42ec"/>
    <xsd:import namespace="3e92ce03-9a88-44a0-bd5f-78b701146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c148-f15a-45a0-8726-b23ec1fe4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274e9a6-2107-4bfd-a51d-5d4b0d274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2ce03-9a88-44a0-bd5f-78b7011466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c5bc21-8060-49a9-98e2-b95102eed1ff}" ma:internalName="TaxCatchAll" ma:showField="CatchAllData" ma:web="3e92ce03-9a88-44a0-bd5f-78b701146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2ce03-9a88-44a0-bd5f-78b7011466af" xsi:nil="true"/>
    <lcf76f155ced4ddcb4097134ff3c332f xmlns="5feac148-f15a-45a0-8726-b23ec1fe42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F7CAE-58C8-4985-9EA9-F7B4C6494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C434-CD90-4C6B-9B09-42D701A80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c148-f15a-45a0-8726-b23ec1fe42ec"/>
    <ds:schemaRef ds:uri="3e92ce03-9a88-44a0-bd5f-78b701146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90999-FD33-4E37-9CE8-DC5D41833E9B}">
  <ds:schemaRefs>
    <ds:schemaRef ds:uri="http://schemas.microsoft.com/office/2006/metadata/properties"/>
    <ds:schemaRef ds:uri="http://schemas.microsoft.com/office/infopath/2007/PartnerControls"/>
    <ds:schemaRef ds:uri="3e92ce03-9a88-44a0-bd5f-78b7011466af"/>
    <ds:schemaRef ds:uri="5feac148-f15a-45a0-8726-b23ec1fe42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1963</Characters>
  <Application>Microsoft Office Word</Application>
  <DocSecurity>0</DocSecurity>
  <Lines>16</Lines>
  <Paragraphs>4</Paragraphs>
  <ScaleCrop>false</ScaleCrop>
  <Manager/>
  <Company/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Gerard Aymon</cp:lastModifiedBy>
  <cp:revision>7</cp:revision>
  <dcterms:created xsi:type="dcterms:W3CDTF">2013-12-23T23:15:00Z</dcterms:created>
  <dcterms:modified xsi:type="dcterms:W3CDTF">2025-09-23T16:05:00Z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0x0101002B7E633DAB47A1478369306AF83946AD</vt:lpwstr>
  </property>
  <property fmtid="{D5CDD505-2E9C-101B-9397-08002B2CF9AE}" pid="3" name="MediaServiceImageTags">
    <vt:lpwstr/>
  </property>
</Properties>
</file>